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footerReference w:type="default" r:id="rId9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9C3023" w:rsidRPr="002D29F4" w:rsidRDefault="009C3023" w:rsidP="009C3023">
      <w:pPr>
        <w:ind w:hanging="567"/>
        <w:jc w:val="both"/>
        <w:rPr>
          <w:sz w:val="4"/>
          <w:szCs w:val="4"/>
        </w:rPr>
      </w:pPr>
      <w:r w:rsidRPr="005131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151" type="#_x0000_t75" style="width:513pt;height:163.5pt;visibility:visible;mso-wrap-style:square">
            <v:imagedata r:id="rId10" o:title="" croptop="37780f" cropbottom="6168f" cropright="27731f"/>
          </v:shape>
        </w:pict>
      </w:r>
    </w:p>
    <w:p w:rsidR="00966C95" w:rsidRPr="002D29F4" w:rsidRDefault="00966C95" w:rsidP="00F645C6">
      <w:pPr>
        <w:jc w:val="both"/>
        <w:rPr>
          <w:sz w:val="4"/>
          <w:szCs w:val="4"/>
        </w:rPr>
        <w:sectPr w:rsidR="00966C95" w:rsidRPr="002D29F4" w:rsidSect="00F957F4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 robbanásszerűen fejlődő digitális világ nagyon vonzóvá vált a </w:t>
      </w:r>
      <w:proofErr w:type="spellStart"/>
      <w:r w:rsidRPr="009C3023">
        <w:rPr>
          <w:bCs/>
          <w:lang w:bidi="hu-HU"/>
        </w:rPr>
        <w:t>kiberbűnözők</w:t>
      </w:r>
      <w:proofErr w:type="spellEnd"/>
      <w:r w:rsidRPr="009C3023">
        <w:rPr>
          <w:bCs/>
          <w:lang w:bidi="hu-HU"/>
        </w:rPr>
        <w:t xml:space="preserve"> számára. A támadók kifinomult trükköket és ígéreteket vetnek be, hogy pénzt vagy értékes pénzügyi </w:t>
      </w:r>
      <w:proofErr w:type="gramStart"/>
      <w:r w:rsidRPr="009C3023">
        <w:rPr>
          <w:bCs/>
          <w:lang w:bidi="hu-HU"/>
        </w:rPr>
        <w:t>információkat</w:t>
      </w:r>
      <w:proofErr w:type="gramEnd"/>
      <w:r w:rsidRPr="009C3023">
        <w:rPr>
          <w:bCs/>
          <w:lang w:bidi="hu-HU"/>
        </w:rPr>
        <w:t xml:space="preserve"> csaljanak ki. Voltak már átverések </w:t>
      </w:r>
      <w:proofErr w:type="spellStart"/>
      <w:r w:rsidRPr="009C3023">
        <w:rPr>
          <w:bCs/>
          <w:lang w:bidi="hu-HU"/>
        </w:rPr>
        <w:t>unokázós</w:t>
      </w:r>
      <w:proofErr w:type="spellEnd"/>
      <w:r w:rsidRPr="009C3023">
        <w:rPr>
          <w:bCs/>
          <w:lang w:bidi="hu-HU"/>
        </w:rPr>
        <w:t xml:space="preserve"> csalók szerepében, és a mesés külföldi örökségről értesítő ügyvéd sztorija is ismert, aki az ügyintézéshez elkéri minden pénzügyi és személyes adatunkat. A </w:t>
      </w:r>
      <w:proofErr w:type="spellStart"/>
      <w:r w:rsidRPr="009C3023">
        <w:rPr>
          <w:bCs/>
          <w:lang w:bidi="hu-HU"/>
        </w:rPr>
        <w:t>kiberbűnözők</w:t>
      </w:r>
      <w:proofErr w:type="spellEnd"/>
      <w:r w:rsidRPr="009C3023">
        <w:rPr>
          <w:bCs/>
          <w:lang w:bidi="hu-HU"/>
        </w:rPr>
        <w:t xml:space="preserve"> által alkalmazott taktikák egyre innovatívabbak és egyre nehezebben felismerhetők. Mégis nehéz elhinni, - amíg személyes érintettsége nem lesz az embernek, - hogy a csalók már ipari méretekben dolgoznak a megkárosításunkon. 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Az elmúlt napokban egy eredményes nemzetközi rendőrségi </w:t>
      </w:r>
      <w:proofErr w:type="gramStart"/>
      <w:r w:rsidRPr="009C3023">
        <w:rPr>
          <w:bCs/>
          <w:lang w:bidi="hu-HU"/>
        </w:rPr>
        <w:t>akció</w:t>
      </w:r>
      <w:proofErr w:type="gramEnd"/>
      <w:r w:rsidRPr="009C3023">
        <w:rPr>
          <w:bCs/>
          <w:lang w:bidi="hu-HU"/>
        </w:rPr>
        <w:t xml:space="preserve"> során Lettországban és Litvániában 108 embert vettek őrizetbe több millió eurós </w:t>
      </w:r>
      <w:proofErr w:type="spellStart"/>
      <w:r w:rsidRPr="009C3023">
        <w:rPr>
          <w:bCs/>
          <w:lang w:bidi="hu-HU"/>
        </w:rPr>
        <w:t>call</w:t>
      </w:r>
      <w:proofErr w:type="spellEnd"/>
      <w:r w:rsidRPr="009C3023">
        <w:rPr>
          <w:bCs/>
          <w:lang w:bidi="hu-HU"/>
        </w:rPr>
        <w:t xml:space="preserve"> centeres csalás miatt.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 hatóságok által készített kisfilm a csaló </w:t>
      </w:r>
      <w:proofErr w:type="spellStart"/>
      <w:r w:rsidRPr="009C3023">
        <w:rPr>
          <w:bCs/>
          <w:lang w:bidi="hu-HU"/>
        </w:rPr>
        <w:t>call</w:t>
      </w:r>
      <w:proofErr w:type="spellEnd"/>
      <w:r w:rsidRPr="009C3023">
        <w:rPr>
          <w:bCs/>
          <w:lang w:bidi="hu-HU"/>
        </w:rPr>
        <w:t xml:space="preserve"> centerek felszámolásáról:</w:t>
      </w: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hyperlink r:id="rId13" w:history="1">
        <w:r w:rsidRPr="0059470C">
          <w:rPr>
            <w:rStyle w:val="Hiperhivatkozs"/>
            <w:rFonts w:ascii="Times New Roman" w:hAnsi="Times New Roman" w:cs="Times New Roman"/>
            <w:bCs/>
            <w:sz w:val="24"/>
            <w:szCs w:val="24"/>
            <w:lang w:bidi="hu-HU"/>
          </w:rPr>
          <w:t>https://youtu.be/7Vi1KL6QAtw</w:t>
        </w:r>
      </w:hyperlink>
      <w:r>
        <w:rPr>
          <w:bCs/>
          <w:lang w:bidi="hu-HU"/>
        </w:rPr>
        <w:t xml:space="preserve"> 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 videó megmutatja, hogy ipari méretekben, </w:t>
      </w:r>
      <w:proofErr w:type="gramStart"/>
      <w:r w:rsidRPr="009C3023">
        <w:rPr>
          <w:bCs/>
          <w:lang w:bidi="hu-HU"/>
        </w:rPr>
        <w:t>precízen</w:t>
      </w:r>
      <w:proofErr w:type="gramEnd"/>
      <w:r w:rsidRPr="009C3023">
        <w:rPr>
          <w:bCs/>
          <w:lang w:bidi="hu-HU"/>
        </w:rPr>
        <w:t xml:space="preserve"> szervezetten csalták ki az ügyfelek adatait, és vették rá a megtévesztett embereket önszántukból szupernyereséget ígérő, de valójában kedvezőtlen, csaló pénzügyi tranzakciók végrehajtására.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Az </w:t>
      </w:r>
      <w:proofErr w:type="spellStart"/>
      <w:r w:rsidRPr="009C3023">
        <w:rPr>
          <w:bCs/>
          <w:lang w:bidi="hu-HU"/>
        </w:rPr>
        <w:t>Europol</w:t>
      </w:r>
      <w:proofErr w:type="spellEnd"/>
      <w:r w:rsidRPr="009C3023">
        <w:rPr>
          <w:bCs/>
          <w:lang w:bidi="hu-HU"/>
        </w:rPr>
        <w:t xml:space="preserve"> és az </w:t>
      </w:r>
      <w:proofErr w:type="spellStart"/>
      <w:r w:rsidRPr="009C3023">
        <w:rPr>
          <w:bCs/>
          <w:lang w:bidi="hu-HU"/>
        </w:rPr>
        <w:t>Eurojust</w:t>
      </w:r>
      <w:proofErr w:type="spellEnd"/>
      <w:r w:rsidRPr="009C3023">
        <w:rPr>
          <w:bCs/>
          <w:lang w:bidi="hu-HU"/>
        </w:rPr>
        <w:t xml:space="preserve"> támogatásával a lett és a litván rendőrség több mint 100 embert vett őrizetbe Rigában és Vilniusban, akiket azzal gyanúsítanak, hogy szerte a világon megkárosították az érintetteket. A bűnözők irányítása alatt kb. 200 hamis „ügyintézőből” álló, különféle nyelveken beszélő „csaló-hadsereg” hívta fel a gyanútlan áldozatokat, hogy rávegye őket megtakarításaik átutalására – kiugróan jövedelmező befektetési lehetőségeket ígérve. A </w:t>
      </w:r>
      <w:proofErr w:type="spellStart"/>
      <w:r w:rsidRPr="009C3023">
        <w:rPr>
          <w:bCs/>
          <w:lang w:bidi="hu-HU"/>
        </w:rPr>
        <w:t>bitcoinba</w:t>
      </w:r>
      <w:proofErr w:type="spellEnd"/>
      <w:r w:rsidRPr="009C3023">
        <w:rPr>
          <w:bCs/>
          <w:lang w:bidi="hu-HU"/>
        </w:rPr>
        <w:t>, nyersanyagokba és külföldi valutákba történő befektetések azonban mind hamisak voltak.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Az előzetes számítások szerint a letartóztatott gyanúsítottak havonta több mint 3 millió euró - azaz 1 milliárd forintot meghaladó - </w:t>
      </w:r>
      <w:proofErr w:type="gramStart"/>
      <w:r w:rsidRPr="009C3023">
        <w:rPr>
          <w:bCs/>
          <w:lang w:bidi="hu-HU"/>
        </w:rPr>
        <w:t>illegális</w:t>
      </w:r>
      <w:proofErr w:type="gramEnd"/>
      <w:r w:rsidRPr="009C3023">
        <w:rPr>
          <w:bCs/>
          <w:lang w:bidi="hu-HU"/>
        </w:rPr>
        <w:t xml:space="preserve"> haszonra tettek szert a csalással.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Az </w:t>
      </w:r>
      <w:proofErr w:type="spellStart"/>
      <w:r w:rsidRPr="009C3023">
        <w:rPr>
          <w:bCs/>
          <w:lang w:bidi="hu-HU"/>
        </w:rPr>
        <w:t>Europol</w:t>
      </w:r>
      <w:proofErr w:type="spellEnd"/>
      <w:r w:rsidRPr="009C3023">
        <w:rPr>
          <w:bCs/>
          <w:lang w:bidi="hu-HU"/>
        </w:rPr>
        <w:t xml:space="preserve"> Európai Pénzügyi és Gazdasági Bűnözés Elleni Központja a kezdetektől segítette és </w:t>
      </w:r>
      <w:proofErr w:type="gramStart"/>
      <w:r w:rsidRPr="009C3023">
        <w:rPr>
          <w:bCs/>
          <w:lang w:bidi="hu-HU"/>
        </w:rPr>
        <w:t>koordinálta</w:t>
      </w:r>
      <w:proofErr w:type="gramEnd"/>
      <w:r w:rsidRPr="009C3023">
        <w:rPr>
          <w:bCs/>
          <w:lang w:bidi="hu-HU"/>
        </w:rPr>
        <w:t xml:space="preserve"> a nyomozást a nemzeti hatóságokkal együttműködve.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 hazai hatóságok és a bankszektor szakértői is a szigorúan figyelemmel kísérik az </w:t>
      </w:r>
      <w:proofErr w:type="gramStart"/>
      <w:r w:rsidRPr="009C3023">
        <w:rPr>
          <w:bCs/>
          <w:lang w:bidi="hu-HU"/>
        </w:rPr>
        <w:t>aktuális</w:t>
      </w:r>
      <w:proofErr w:type="gramEnd"/>
      <w:r w:rsidRPr="009C3023">
        <w:rPr>
          <w:bCs/>
          <w:lang w:bidi="hu-HU"/>
        </w:rPr>
        <w:t xml:space="preserve"> </w:t>
      </w:r>
      <w:proofErr w:type="spellStart"/>
      <w:r w:rsidRPr="009C3023">
        <w:rPr>
          <w:bCs/>
          <w:lang w:bidi="hu-HU"/>
        </w:rPr>
        <w:t>kiberkockázati</w:t>
      </w:r>
      <w:proofErr w:type="spellEnd"/>
      <w:r w:rsidRPr="009C3023">
        <w:rPr>
          <w:bCs/>
          <w:lang w:bidi="hu-HU"/>
        </w:rPr>
        <w:t xml:space="preserve"> tényezőket, gyanús cselekményeket. Határon átnyúló csaló hívásokat magyar sértettek is tapasztaltak. </w:t>
      </w:r>
      <w:r w:rsidRPr="009C3023">
        <w:rPr>
          <w:bCs/>
          <w:lang w:bidi="hu-HU"/>
        </w:rPr>
        <w:lastRenderedPageBreak/>
        <w:t>Legyünk különösen óvatosak, ha banki vagy egyéb hivatalos ügyintéző akcentussal, nem szokásos nyelvjárással, nem pontos szakmai kifejezéseket használva jelentkezik be, és kér adatokat!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Az ukrán – orosz háború hatása a </w:t>
      </w:r>
      <w:proofErr w:type="spellStart"/>
      <w:r w:rsidRPr="009C3023">
        <w:rPr>
          <w:bCs/>
          <w:lang w:bidi="hu-HU"/>
        </w:rPr>
        <w:t>kiberterületen</w:t>
      </w:r>
      <w:proofErr w:type="spellEnd"/>
      <w:r w:rsidRPr="009C3023">
        <w:rPr>
          <w:bCs/>
          <w:lang w:bidi="hu-HU"/>
        </w:rPr>
        <w:t xml:space="preserve"> is megmutatkozik, - a megszokottól eltérő helyzetek lehetőségeket nyitnak bűncselekmények elkövetésére is. Ezért fokozott odafigyelés javasolt. Így például magyar számítógéphasználókat is elért olyan felhívás, amely az egyik ismert hackercsoport nevében kér támogatás, hogy a felajánlott számítógép </w:t>
      </w:r>
      <w:proofErr w:type="gramStart"/>
      <w:r w:rsidRPr="009C3023">
        <w:rPr>
          <w:bCs/>
          <w:lang w:bidi="hu-HU"/>
        </w:rPr>
        <w:t>kapacitásait</w:t>
      </w:r>
      <w:proofErr w:type="gramEnd"/>
      <w:r w:rsidRPr="009C3023">
        <w:rPr>
          <w:bCs/>
          <w:lang w:bidi="hu-HU"/>
        </w:rPr>
        <w:t xml:space="preserve"> is felhasználva hajthassanak végre „szankciót a kibertérben”, azaz támadást az orosz szerverek ellen. Ám a szakértők arra figyelmeztetnek, hogy a gépünk feletti </w:t>
      </w:r>
      <w:proofErr w:type="gramStart"/>
      <w:r w:rsidRPr="009C3023">
        <w:rPr>
          <w:bCs/>
          <w:lang w:bidi="hu-HU"/>
        </w:rPr>
        <w:t>kontrollt</w:t>
      </w:r>
      <w:proofErr w:type="gramEnd"/>
      <w:r w:rsidRPr="009C3023">
        <w:rPr>
          <w:bCs/>
          <w:lang w:bidi="hu-HU"/>
        </w:rPr>
        <w:t xml:space="preserve"> senkinek nem szabad átengedni, hiszen onnantól bármilyen adatunk nyilvánossá válik.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Szolgáltatótól, banktól e-mailben kapott felhívás, figyelmeztetés esetén mindig ellenőrizze a feladó tényleges e-mail címét, és azt, hogy az üzenetben </w:t>
      </w:r>
      <w:proofErr w:type="gramStart"/>
      <w:r w:rsidRPr="009C3023">
        <w:rPr>
          <w:bCs/>
          <w:lang w:bidi="hu-HU"/>
        </w:rPr>
        <w:t>szereplő hivatkozás</w:t>
      </w:r>
      <w:proofErr w:type="gramEnd"/>
      <w:r w:rsidRPr="009C3023">
        <w:rPr>
          <w:bCs/>
          <w:lang w:bidi="hu-HU"/>
        </w:rPr>
        <w:t xml:space="preserve"> valójában hova mutat!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 xml:space="preserve">Személyes vagy banki adatot, ideértve a bankkártya-adatokat is, ne </w:t>
      </w:r>
      <w:proofErr w:type="spellStart"/>
      <w:r w:rsidRPr="009C3023">
        <w:rPr>
          <w:bCs/>
          <w:lang w:bidi="hu-HU"/>
        </w:rPr>
        <w:t>osszon</w:t>
      </w:r>
      <w:proofErr w:type="spellEnd"/>
      <w:r w:rsidRPr="009C3023">
        <w:rPr>
          <w:bCs/>
          <w:lang w:bidi="hu-HU"/>
        </w:rPr>
        <w:t xml:space="preserve"> meg senkivel telefonon vagy e-mailben!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>Semmilyen programot ne telepítsen számítógépére, mobiltelefonjára, még a bank nevében telefonáló személy kérésére sem!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Pr="009C3023" w:rsidRDefault="009C3023" w:rsidP="009C3023">
      <w:pPr>
        <w:shd w:val="clear" w:color="auto" w:fill="F2F2F2"/>
        <w:jc w:val="both"/>
        <w:rPr>
          <w:b/>
          <w:bCs/>
          <w:lang w:bidi="hu-HU"/>
        </w:rPr>
      </w:pPr>
      <w:r w:rsidRPr="009C3023">
        <w:rPr>
          <w:b/>
          <w:bCs/>
          <w:lang w:bidi="hu-HU"/>
        </w:rPr>
        <w:t>Jól állunk a biztonság terén</w:t>
      </w: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</w:p>
    <w:p w:rsidR="009C3023" w:rsidRDefault="009C3023" w:rsidP="009C3023">
      <w:pPr>
        <w:shd w:val="clear" w:color="auto" w:fill="F2F2F2"/>
        <w:jc w:val="both"/>
        <w:rPr>
          <w:bCs/>
          <w:lang w:bidi="hu-HU"/>
        </w:rPr>
      </w:pPr>
      <w:r w:rsidRPr="009C3023">
        <w:rPr>
          <w:bCs/>
          <w:lang w:bidi="hu-HU"/>
        </w:rPr>
        <w:t>Magyarország európai viszonylatban az egyik legbiztonságosabb ország a digitális fizetések terén – az Európai Központi Bank statisztikája szerint ezüstérmesek vagyunk a biztonságos bankkártya használatban. Ez a kedvező adat azonban csak akkor maradhat fenn, ha az ügyfelek fokozott figyelemmel és együtt óvják személyes és pénzügyi adataikat a hatósági szereplőkkel és a bankok szakértőivel.</w:t>
      </w:r>
    </w:p>
    <w:p w:rsidR="00DE3DBB" w:rsidRDefault="00DE3DBB" w:rsidP="009C3023">
      <w:pPr>
        <w:shd w:val="clear" w:color="auto" w:fill="F2F2F2"/>
        <w:jc w:val="both"/>
        <w:rPr>
          <w:bCs/>
          <w:lang w:bidi="hu-HU"/>
        </w:rPr>
      </w:pPr>
    </w:p>
    <w:p w:rsidR="00DE3DBB" w:rsidRPr="009C3023" w:rsidRDefault="00DE3DBB" w:rsidP="009C3023">
      <w:pPr>
        <w:shd w:val="clear" w:color="auto" w:fill="F2F2F2"/>
        <w:jc w:val="both"/>
        <w:rPr>
          <w:bCs/>
          <w:lang w:bidi="hu-HU"/>
        </w:rPr>
      </w:pPr>
      <w:proofErr w:type="gramStart"/>
      <w:r>
        <w:rPr>
          <w:bCs/>
          <w:lang w:bidi="hu-HU"/>
        </w:rPr>
        <w:t>forrás</w:t>
      </w:r>
      <w:proofErr w:type="gramEnd"/>
      <w:r>
        <w:rPr>
          <w:bCs/>
          <w:lang w:bidi="hu-HU"/>
        </w:rPr>
        <w:t xml:space="preserve">: </w:t>
      </w:r>
      <w:hyperlink r:id="rId14" w:history="1">
        <w:r w:rsidRPr="0059470C">
          <w:rPr>
            <w:rStyle w:val="Hiperhivatkozs"/>
            <w:rFonts w:ascii="Times New Roman" w:hAnsi="Times New Roman" w:cs="Times New Roman"/>
            <w:bCs/>
            <w:sz w:val="24"/>
            <w:szCs w:val="24"/>
            <w:lang w:bidi="hu-HU"/>
          </w:rPr>
          <w:t>https://www.bankszovetseg.hu/hirek-aktualitasok.cshtml?lang=hun&amp;hirId=86#a</w:t>
        </w:r>
      </w:hyperlink>
      <w:r>
        <w:rPr>
          <w:bCs/>
          <w:lang w:bidi="hu-HU"/>
        </w:rPr>
        <w:t xml:space="preserve"> </w:t>
      </w:r>
    </w:p>
    <w:p w:rsidR="00F00807" w:rsidRPr="00977D6E" w:rsidRDefault="00F00807" w:rsidP="009C3023">
      <w:pPr>
        <w:shd w:val="clear" w:color="auto" w:fill="F2F2F2"/>
        <w:jc w:val="both"/>
      </w:pPr>
    </w:p>
    <w:p w:rsidR="00977D6E" w:rsidRDefault="00977D6E" w:rsidP="0095402D">
      <w:pPr>
        <w:shd w:val="clear" w:color="auto" w:fill="F2F2F2"/>
        <w:jc w:val="right"/>
        <w:rPr>
          <w:b/>
        </w:rPr>
      </w:pPr>
    </w:p>
    <w:p w:rsidR="009C3023" w:rsidRPr="009C3023" w:rsidRDefault="009C3023" w:rsidP="009C3023">
      <w:pPr>
        <w:shd w:val="clear" w:color="auto" w:fill="F2F2F2"/>
        <w:jc w:val="right"/>
        <w:rPr>
          <w:b/>
        </w:rPr>
      </w:pPr>
      <w:r w:rsidRPr="009C3023">
        <w:rPr>
          <w:b/>
        </w:rPr>
        <w:t>Magyar Bankszövetség</w:t>
      </w:r>
    </w:p>
    <w:p w:rsidR="009C3023" w:rsidRPr="009C3023" w:rsidRDefault="009C3023" w:rsidP="009C3023">
      <w:pPr>
        <w:shd w:val="clear" w:color="auto" w:fill="F2F2F2"/>
        <w:jc w:val="right"/>
        <w:rPr>
          <w:b/>
        </w:rPr>
      </w:pPr>
      <w:bookmarkStart w:id="0" w:name="_GoBack"/>
      <w:bookmarkEnd w:id="0"/>
    </w:p>
    <w:p w:rsidR="009C3023" w:rsidRPr="009C3023" w:rsidRDefault="009C3023" w:rsidP="009C3023">
      <w:pPr>
        <w:shd w:val="clear" w:color="auto" w:fill="F2F2F2"/>
        <w:jc w:val="right"/>
        <w:rPr>
          <w:b/>
        </w:rPr>
      </w:pPr>
      <w:r w:rsidRPr="009C3023">
        <w:rPr>
          <w:b/>
        </w:rPr>
        <w:t>Nemzetbiztonsági Szakszolgálat</w:t>
      </w:r>
      <w:r>
        <w:rPr>
          <w:b/>
        </w:rPr>
        <w:br/>
      </w:r>
      <w:r w:rsidRPr="009C3023">
        <w:rPr>
          <w:b/>
        </w:rPr>
        <w:t xml:space="preserve"> Nemzeti </w:t>
      </w:r>
      <w:proofErr w:type="spellStart"/>
      <w:r w:rsidRPr="009C3023">
        <w:rPr>
          <w:b/>
        </w:rPr>
        <w:t>Kibervédelmi</w:t>
      </w:r>
      <w:proofErr w:type="spellEnd"/>
      <w:r w:rsidRPr="009C3023">
        <w:rPr>
          <w:b/>
        </w:rPr>
        <w:t xml:space="preserve"> Intézet</w:t>
      </w:r>
    </w:p>
    <w:p w:rsidR="009C3023" w:rsidRPr="009C3023" w:rsidRDefault="009C3023" w:rsidP="009C3023">
      <w:pPr>
        <w:shd w:val="clear" w:color="auto" w:fill="F2F2F2"/>
        <w:jc w:val="right"/>
        <w:rPr>
          <w:b/>
        </w:rPr>
      </w:pPr>
    </w:p>
    <w:p w:rsidR="009C3023" w:rsidRDefault="009C3023" w:rsidP="009C3023">
      <w:pPr>
        <w:shd w:val="clear" w:color="auto" w:fill="F2F2F2"/>
        <w:jc w:val="right"/>
        <w:rPr>
          <w:b/>
        </w:rPr>
        <w:sectPr w:rsidR="009C3023" w:rsidSect="009C3023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ep="1" w:space="397"/>
          <w:docGrid w:linePitch="360"/>
        </w:sectPr>
      </w:pPr>
      <w:r>
        <w:rPr>
          <w:b/>
        </w:rPr>
        <w:t>Országos Rendőr-főkapitányság</w:t>
      </w:r>
    </w:p>
    <w:p w:rsidR="007C2CF0" w:rsidRPr="00977D6E" w:rsidRDefault="009C3023" w:rsidP="009C3023">
      <w:pPr>
        <w:shd w:val="clear" w:color="auto" w:fill="F2F2F2"/>
        <w:rPr>
          <w:b/>
        </w:rPr>
      </w:pPr>
      <w:r w:rsidRPr="009C3023">
        <w:rPr>
          <w:b/>
          <w:shd w:val="clear" w:color="auto" w:fill="FFFFFF" w:themeFill="background1"/>
        </w:rPr>
        <w:t xml:space="preserve">                                                  </w:t>
      </w:r>
      <w:r w:rsidRPr="009C3023">
        <w:rPr>
          <w:b/>
        </w:rPr>
        <w:t xml:space="preserve">                               </w:t>
      </w:r>
      <w:r>
        <w:rPr>
          <w:b/>
        </w:rPr>
        <w:t xml:space="preserve">                     </w:t>
      </w:r>
    </w:p>
    <w:sectPr w:rsidR="007C2CF0" w:rsidRPr="00977D6E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DE3DBB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DE08A8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április - önkormányzat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DE3DBB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DE08A8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8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április - önkormányzat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E395E"/>
    <w:multiLevelType w:val="hybridMultilevel"/>
    <w:tmpl w:val="D37A8E3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700F2"/>
    <w:multiLevelType w:val="hybridMultilevel"/>
    <w:tmpl w:val="CA22F8E8"/>
    <w:lvl w:ilvl="0" w:tplc="46101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3"/>
    <w:lvlOverride w:ilvl="0">
      <w:startOverride w:val="2"/>
    </w:lvlOverride>
  </w:num>
  <w:num w:numId="10">
    <w:abstractNumId w:val="18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8"/>
    <w:lvlOverride w:ilvl="0">
      <w:startOverride w:val="5"/>
    </w:lvlOverride>
  </w:num>
  <w:num w:numId="13">
    <w:abstractNumId w:val="14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9"/>
    <w:lvlOverride w:ilvl="0">
      <w:startOverride w:val="9"/>
    </w:lvlOverride>
  </w:num>
  <w:num w:numId="17">
    <w:abstractNumId w:val="6"/>
    <w:lvlOverride w:ilvl="0">
      <w:startOverride w:val="10"/>
    </w:lvlOverride>
  </w:num>
  <w:num w:numId="18">
    <w:abstractNumId w:val="4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097E"/>
    <w:rsid w:val="0003381D"/>
    <w:rsid w:val="000471F8"/>
    <w:rsid w:val="00061C72"/>
    <w:rsid w:val="0006274A"/>
    <w:rsid w:val="000628BA"/>
    <w:rsid w:val="00062F2C"/>
    <w:rsid w:val="00073892"/>
    <w:rsid w:val="0007640D"/>
    <w:rsid w:val="00077081"/>
    <w:rsid w:val="00083CF8"/>
    <w:rsid w:val="00083EF8"/>
    <w:rsid w:val="0008688A"/>
    <w:rsid w:val="000B5EE9"/>
    <w:rsid w:val="000C3F29"/>
    <w:rsid w:val="000C43A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7809"/>
    <w:rsid w:val="00313335"/>
    <w:rsid w:val="00314F2E"/>
    <w:rsid w:val="003160B8"/>
    <w:rsid w:val="0032589C"/>
    <w:rsid w:val="00333989"/>
    <w:rsid w:val="00342D7C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52E4D"/>
    <w:rsid w:val="0055713C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C2CF0"/>
    <w:rsid w:val="007D108B"/>
    <w:rsid w:val="007D25B9"/>
    <w:rsid w:val="007E3F9A"/>
    <w:rsid w:val="007E48A2"/>
    <w:rsid w:val="007F037D"/>
    <w:rsid w:val="0080031C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77D6E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C3023"/>
    <w:rsid w:val="009D5D7B"/>
    <w:rsid w:val="009D64A9"/>
    <w:rsid w:val="009E2F4A"/>
    <w:rsid w:val="009E6803"/>
    <w:rsid w:val="009F3C64"/>
    <w:rsid w:val="009F743C"/>
    <w:rsid w:val="00A058C8"/>
    <w:rsid w:val="00A355D9"/>
    <w:rsid w:val="00A37A8F"/>
    <w:rsid w:val="00A4043C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652FD"/>
    <w:rsid w:val="00B700F1"/>
    <w:rsid w:val="00B70B7A"/>
    <w:rsid w:val="00B74165"/>
    <w:rsid w:val="00B76697"/>
    <w:rsid w:val="00B93C87"/>
    <w:rsid w:val="00B9631A"/>
    <w:rsid w:val="00BB0069"/>
    <w:rsid w:val="00BB2C66"/>
    <w:rsid w:val="00BB3B59"/>
    <w:rsid w:val="00BC5EF4"/>
    <w:rsid w:val="00BC6908"/>
    <w:rsid w:val="00BE1CC6"/>
    <w:rsid w:val="00BE1FE2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08A8"/>
    <w:rsid w:val="00DE2A88"/>
    <w:rsid w:val="00DE3DBB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A31"/>
    <w:rsid w:val="00EA4EB4"/>
    <w:rsid w:val="00EB748D"/>
    <w:rsid w:val="00EB7779"/>
    <w:rsid w:val="00EE1F70"/>
    <w:rsid w:val="00EE3120"/>
    <w:rsid w:val="00F00807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23D8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93B80B7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7Vi1KL6QA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ankszovetseg.hu/hirek-aktualitasok.cshtml?lang=hun&amp;hirId=86#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CDFA-2551-440A-965E-E2F4DF5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4335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3</cp:revision>
  <cp:lastPrinted>2012-12-06T10:48:00Z</cp:lastPrinted>
  <dcterms:created xsi:type="dcterms:W3CDTF">2022-04-12T09:24:00Z</dcterms:created>
  <dcterms:modified xsi:type="dcterms:W3CDTF">2022-04-12T09:29:00Z</dcterms:modified>
</cp:coreProperties>
</file>